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D" w:rsidRPr="008D4B2C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tbl>
      <w:tblPr>
        <w:tblStyle w:val="Cuadrculamedia3-nfasis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79"/>
        <w:gridCol w:w="1768"/>
        <w:gridCol w:w="1768"/>
        <w:gridCol w:w="1768"/>
        <w:gridCol w:w="1768"/>
        <w:gridCol w:w="1768"/>
        <w:gridCol w:w="1560"/>
        <w:gridCol w:w="1397"/>
      </w:tblGrid>
      <w:tr w:rsidR="00941AEA" w:rsidRPr="00FE7A5A" w:rsidTr="00B06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:rsidR="00941AEA" w:rsidRPr="00FE7A5A" w:rsidRDefault="00941AEA" w:rsidP="00B06103">
            <w:pPr>
              <w:rPr>
                <w:b w:val="0"/>
              </w:rPr>
            </w:pPr>
            <w:r w:rsidRPr="00FE7A5A">
              <w:t>Criterios de evaluación</w:t>
            </w:r>
          </w:p>
          <w:p w:rsidR="00941AEA" w:rsidRPr="00FE7A5A" w:rsidRDefault="00941AEA" w:rsidP="00B06103">
            <w:pPr>
              <w:jc w:val="center"/>
            </w:pPr>
          </w:p>
        </w:tc>
        <w:tc>
          <w:tcPr>
            <w:tcW w:w="4477" w:type="pct"/>
            <w:gridSpan w:val="7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FE7A5A">
              <w:rPr>
                <w:color w:val="FFFFFF"/>
              </w:rPr>
              <w:t>Descriptores</w:t>
            </w:r>
          </w:p>
        </w:tc>
      </w:tr>
      <w:tr w:rsidR="00941AEA" w:rsidRPr="00FE7A5A" w:rsidTr="00B0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</w:tcPr>
          <w:p w:rsidR="00941AEA" w:rsidRPr="00FE7A5A" w:rsidRDefault="00941AEA" w:rsidP="00B06103">
            <w:pPr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67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Excelente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</w:tc>
        <w:tc>
          <w:tcPr>
            <w:tcW w:w="67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Sobresaliente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90</w:t>
            </w:r>
          </w:p>
        </w:tc>
        <w:tc>
          <w:tcPr>
            <w:tcW w:w="67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Aceptable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80</w:t>
            </w:r>
          </w:p>
        </w:tc>
        <w:tc>
          <w:tcPr>
            <w:tcW w:w="67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Suficiente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70</w:t>
            </w:r>
          </w:p>
        </w:tc>
        <w:tc>
          <w:tcPr>
            <w:tcW w:w="67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Insuficiente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60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No evaluable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531" w:type="pct"/>
            <w:shd w:val="clear" w:color="auto" w:fill="548DD4" w:themeFill="text2" w:themeFillTint="99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Puntos  totales </w:t>
            </w:r>
          </w:p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  <w:p w:rsidR="00941AEA" w:rsidRPr="00941AEA" w:rsidRDefault="00941AEA" w:rsidP="0094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 (Suma de criterios de evaluación) </w:t>
            </w:r>
          </w:p>
        </w:tc>
      </w:tr>
      <w:tr w:rsidR="00941AEA" w:rsidRPr="00FE7A5A" w:rsidTr="00B0610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 w:val="restart"/>
          </w:tcPr>
          <w:p w:rsidR="00941AEA" w:rsidRPr="00FE7A5A" w:rsidRDefault="00941AEA" w:rsidP="00B06103">
            <w:r w:rsidRPr="00FE7A5A">
              <w:t xml:space="preserve">1.  </w:t>
            </w:r>
            <w:r>
              <w:t>Presenta el plan de vida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  </w:t>
            </w:r>
            <w:r>
              <w:rPr>
                <w:b/>
              </w:rPr>
              <w:br/>
              <w:t xml:space="preserve">50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</w:t>
            </w:r>
            <w:r>
              <w:rPr>
                <w:b/>
              </w:rPr>
              <w:br/>
              <w:t xml:space="preserve">45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 xml:space="preserve">quivalencia:  </w:t>
            </w:r>
            <w:r>
              <w:rPr>
                <w:b/>
              </w:rPr>
              <w:br/>
              <w:t xml:space="preserve">40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</w:t>
            </w:r>
            <w:r>
              <w:rPr>
                <w:b/>
              </w:rPr>
              <w:br/>
              <w:t xml:space="preserve">35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 </w:t>
            </w:r>
            <w:r>
              <w:rPr>
                <w:b/>
              </w:rPr>
              <w:br/>
              <w:t xml:space="preserve">30 </w:t>
            </w:r>
            <w:r w:rsidRPr="00FE7A5A">
              <w:rPr>
                <w:b/>
              </w:rPr>
              <w:t>puntos</w:t>
            </w:r>
          </w:p>
        </w:tc>
        <w:tc>
          <w:tcPr>
            <w:tcW w:w="592" w:type="pct"/>
          </w:tcPr>
          <w:p w:rsidR="00941AEA" w:rsidRPr="00FE7A5A" w:rsidRDefault="00941AEA" w:rsidP="00941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531" w:type="pct"/>
            <w:vMerge w:val="restar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  <w:r w:rsidRPr="00FE7A5A">
              <w:rPr>
                <w:b/>
              </w:rPr>
              <w:t>0</w:t>
            </w:r>
          </w:p>
        </w:tc>
      </w:tr>
      <w:tr w:rsidR="00941AEA" w:rsidRPr="00FE7A5A" w:rsidTr="00B0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/>
          </w:tcPr>
          <w:p w:rsidR="00941AEA" w:rsidRPr="00FE7A5A" w:rsidRDefault="00941AEA" w:rsidP="00B06103">
            <w:pPr>
              <w:jc w:val="both"/>
            </w:pPr>
          </w:p>
        </w:tc>
        <w:tc>
          <w:tcPr>
            <w:tcW w:w="671" w:type="pct"/>
          </w:tcPr>
          <w:p w:rsidR="00941AEA" w:rsidRPr="0091012F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Presenta cada uno de los formatos correspondientes al plan de vida completos: </w:t>
            </w:r>
            <w:r w:rsidRPr="0091012F">
              <w:rPr>
                <w:sz w:val="18"/>
                <w:szCs w:val="18"/>
              </w:rPr>
              <w:t>Matriz de tiempo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Carta propósito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 visión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FODA personal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Actividades relevantes para el éxito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Mis ventajas competitivas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Valores gobernantes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Estrategias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Presenta cada uno de los formatos correspondientes al plan de vida completos: </w:t>
            </w:r>
            <w:r w:rsidRPr="0091012F">
              <w:rPr>
                <w:sz w:val="18"/>
                <w:szCs w:val="18"/>
              </w:rPr>
              <w:t>Matriz de tiempo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Carta propósito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 visión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FODA personal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Actividades relevantes para el éxito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Mis ventajas competitivas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Valores gobernantes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Estrategias</w:t>
            </w:r>
            <w:r>
              <w:rPr>
                <w:sz w:val="18"/>
                <w:szCs w:val="18"/>
              </w:rPr>
              <w:t xml:space="preserve">. No se </w:t>
            </w:r>
            <w:r>
              <w:rPr>
                <w:sz w:val="18"/>
                <w:szCs w:val="18"/>
              </w:rPr>
              <w:lastRenderedPageBreak/>
              <w:t>detallan las estrategias en términos de las ventajas competitivas.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cada uno de los formatos correspondientes al plan de vida completos: </w:t>
            </w:r>
            <w:r w:rsidRPr="0091012F">
              <w:rPr>
                <w:sz w:val="18"/>
                <w:szCs w:val="18"/>
              </w:rPr>
              <w:t>Matriz de tiempo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Carta propósito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 visión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FODA personal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Actividades relevantes para el éxito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Mis ventajas competitivas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Valores gobernantes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Estrategias</w:t>
            </w:r>
            <w:r>
              <w:rPr>
                <w:sz w:val="18"/>
                <w:szCs w:val="18"/>
              </w:rPr>
              <w:t xml:space="preserve">. Las </w:t>
            </w:r>
            <w:r>
              <w:rPr>
                <w:sz w:val="18"/>
                <w:szCs w:val="18"/>
              </w:rPr>
              <w:lastRenderedPageBreak/>
              <w:t>ventajas competitivas no se definieron en términos del análisis FODA.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algunos de los formatos correspondientes al plan de vida completos: </w:t>
            </w:r>
            <w:r w:rsidRPr="0091012F">
              <w:rPr>
                <w:sz w:val="18"/>
                <w:szCs w:val="18"/>
              </w:rPr>
              <w:t>Matriz de tiempo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Carta propósito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 visión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FODA personal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Actividades relevantes para el éxito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Mis ventajas competitivas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Valores gobernantes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Estrategias</w:t>
            </w:r>
            <w:r>
              <w:rPr>
                <w:sz w:val="18"/>
                <w:szCs w:val="18"/>
              </w:rPr>
              <w:t xml:space="preserve">. Las </w:t>
            </w:r>
            <w:r>
              <w:rPr>
                <w:sz w:val="18"/>
                <w:szCs w:val="18"/>
              </w:rPr>
              <w:lastRenderedPageBreak/>
              <w:t>ventajas competitivas y las estrategias no se definieron en términos del análisis FODA.</w:t>
            </w:r>
          </w:p>
        </w:tc>
        <w:tc>
          <w:tcPr>
            <w:tcW w:w="671" w:type="pct"/>
          </w:tcPr>
          <w:p w:rsidR="00941AE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Presenta  algunos de los formatos correspondientes al plan de vida llenados en forma parcial: </w:t>
            </w:r>
            <w:r w:rsidRPr="0091012F">
              <w:rPr>
                <w:sz w:val="18"/>
                <w:szCs w:val="18"/>
              </w:rPr>
              <w:t>Matriz de tiempo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Carta propósito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 visión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FODA personal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Actividades relevantes para el éxito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Mis ventajas competitivas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t>Valores gobernantes</w:t>
            </w:r>
            <w:r>
              <w:rPr>
                <w:sz w:val="18"/>
                <w:szCs w:val="18"/>
              </w:rPr>
              <w:t xml:space="preserve">, </w:t>
            </w:r>
            <w:r w:rsidRPr="0091012F">
              <w:rPr>
                <w:sz w:val="18"/>
                <w:szCs w:val="18"/>
              </w:rPr>
              <w:lastRenderedPageBreak/>
              <w:t>Estrategias</w:t>
            </w:r>
            <w:r>
              <w:rPr>
                <w:sz w:val="18"/>
                <w:szCs w:val="18"/>
              </w:rPr>
              <w:t xml:space="preserve">. </w:t>
            </w:r>
          </w:p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Las ventajas competitivas y las estrategias no se definieron en términos del análisis FODA.</w:t>
            </w:r>
          </w:p>
        </w:tc>
        <w:tc>
          <w:tcPr>
            <w:tcW w:w="592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1" w:type="pct"/>
            <w:vMerge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1AEA" w:rsidRPr="00FE7A5A" w:rsidTr="00B06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941AEA" w:rsidRPr="000631C9" w:rsidRDefault="00941AEA" w:rsidP="00B06103">
            <w:pPr>
              <w:rPr>
                <w:sz w:val="28"/>
              </w:rPr>
            </w:pPr>
          </w:p>
        </w:tc>
      </w:tr>
      <w:tr w:rsidR="00941AEA" w:rsidRPr="00FE7A5A" w:rsidTr="00B0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 w:val="restart"/>
          </w:tcPr>
          <w:p w:rsidR="00941AEA" w:rsidRPr="00FE7A5A" w:rsidRDefault="00941AEA" w:rsidP="00B06103">
            <w:r w:rsidRPr="00FE7A5A">
              <w:t xml:space="preserve">2.  </w:t>
            </w:r>
            <w:r>
              <w:t xml:space="preserve"> Presenta el plan de acción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27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24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21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592" w:type="pct"/>
          </w:tcPr>
          <w:p w:rsidR="00941AEA" w:rsidRPr="00FE7A5A" w:rsidRDefault="00941AEA" w:rsidP="0094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531" w:type="pct"/>
            <w:vMerge w:val="restart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41AEA" w:rsidRPr="00FE7A5A" w:rsidTr="00B06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/>
          </w:tcPr>
          <w:p w:rsidR="00941AEA" w:rsidRPr="00FE7A5A" w:rsidRDefault="00941AEA" w:rsidP="00B06103">
            <w:pPr>
              <w:jc w:val="both"/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Presenta el formato del plan de acción  completo, incluyendo: </w:t>
            </w:r>
            <w:r w:rsidRPr="0033432A">
              <w:rPr>
                <w:sz w:val="18"/>
                <w:szCs w:val="18"/>
              </w:rPr>
              <w:t>Estrategia</w:t>
            </w:r>
            <w:r>
              <w:rPr>
                <w:sz w:val="18"/>
                <w:szCs w:val="18"/>
              </w:rPr>
              <w:t xml:space="preserve">, </w:t>
            </w:r>
            <w:r w:rsidRPr="0033432A">
              <w:rPr>
                <w:sz w:val="18"/>
                <w:szCs w:val="18"/>
              </w:rPr>
              <w:t>Acciones para poner en marcha la estrategia</w:t>
            </w:r>
            <w:r>
              <w:rPr>
                <w:sz w:val="18"/>
                <w:szCs w:val="18"/>
              </w:rPr>
              <w:t xml:space="preserve"> y </w:t>
            </w:r>
            <w:r w:rsidRPr="0033432A">
              <w:rPr>
                <w:sz w:val="18"/>
                <w:szCs w:val="18"/>
              </w:rPr>
              <w:t>Métrica para cada una de las acciones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Presenta el formato del plan de acción  completo, incluyendo: </w:t>
            </w:r>
            <w:r w:rsidRPr="0033432A">
              <w:rPr>
                <w:sz w:val="18"/>
                <w:szCs w:val="18"/>
              </w:rPr>
              <w:t>Estrategia</w:t>
            </w:r>
            <w:r>
              <w:rPr>
                <w:sz w:val="18"/>
                <w:szCs w:val="18"/>
              </w:rPr>
              <w:t xml:space="preserve">, </w:t>
            </w:r>
            <w:r w:rsidRPr="0033432A">
              <w:rPr>
                <w:sz w:val="18"/>
                <w:szCs w:val="18"/>
              </w:rPr>
              <w:t>Acciones para poner en marcha la estrategia</w:t>
            </w:r>
            <w:r>
              <w:rPr>
                <w:sz w:val="18"/>
                <w:szCs w:val="18"/>
              </w:rPr>
              <w:t xml:space="preserve"> y </w:t>
            </w:r>
            <w:r w:rsidRPr="0033432A">
              <w:rPr>
                <w:sz w:val="18"/>
                <w:szCs w:val="18"/>
              </w:rPr>
              <w:t>Métrica para cada una de las acciones</w:t>
            </w:r>
            <w:r>
              <w:rPr>
                <w:sz w:val="18"/>
                <w:szCs w:val="18"/>
              </w:rPr>
              <w:t>. Pero no se detallan las métricas para cada una de las acciones.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Presenta el formato del plan de acción  completo, incluyendo: </w:t>
            </w:r>
            <w:r w:rsidRPr="0033432A">
              <w:rPr>
                <w:sz w:val="18"/>
                <w:szCs w:val="18"/>
              </w:rPr>
              <w:t>Estrategia</w:t>
            </w:r>
            <w:r>
              <w:rPr>
                <w:sz w:val="18"/>
                <w:szCs w:val="18"/>
              </w:rPr>
              <w:t xml:space="preserve">, </w:t>
            </w:r>
            <w:r w:rsidRPr="0033432A">
              <w:rPr>
                <w:sz w:val="18"/>
                <w:szCs w:val="18"/>
              </w:rPr>
              <w:t>Acciones para poner en marcha la estrategia</w:t>
            </w:r>
            <w:r>
              <w:rPr>
                <w:sz w:val="18"/>
                <w:szCs w:val="18"/>
              </w:rPr>
              <w:t xml:space="preserve"> y </w:t>
            </w:r>
            <w:r w:rsidRPr="0033432A">
              <w:rPr>
                <w:sz w:val="18"/>
                <w:szCs w:val="18"/>
              </w:rPr>
              <w:t>Métrica para cada una de las acciones</w:t>
            </w:r>
            <w:r>
              <w:rPr>
                <w:sz w:val="18"/>
                <w:szCs w:val="18"/>
              </w:rPr>
              <w:t>. Pero no se detallan las acciones para cada una de las estrategias.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Presenta el formato del plan de acción en forma parcial: </w:t>
            </w:r>
            <w:r w:rsidRPr="0033432A">
              <w:rPr>
                <w:sz w:val="18"/>
                <w:szCs w:val="18"/>
              </w:rPr>
              <w:t>Estrategia</w:t>
            </w:r>
            <w:r>
              <w:rPr>
                <w:sz w:val="18"/>
                <w:szCs w:val="18"/>
              </w:rPr>
              <w:t xml:space="preserve">, </w:t>
            </w:r>
            <w:r w:rsidRPr="0033432A">
              <w:rPr>
                <w:sz w:val="18"/>
                <w:szCs w:val="18"/>
              </w:rPr>
              <w:t>Acciones para poner en marcha la estrategia</w:t>
            </w:r>
            <w:r>
              <w:rPr>
                <w:sz w:val="18"/>
                <w:szCs w:val="18"/>
              </w:rPr>
              <w:t>. Pero no se incluyeron las  métricas para cada una de las acciones.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 Presenta el formato del plan de acción en forma parcial: </w:t>
            </w:r>
            <w:r w:rsidRPr="0033432A">
              <w:rPr>
                <w:sz w:val="18"/>
                <w:szCs w:val="18"/>
              </w:rPr>
              <w:t>Estrategia</w:t>
            </w:r>
            <w:r>
              <w:rPr>
                <w:sz w:val="18"/>
                <w:szCs w:val="18"/>
              </w:rPr>
              <w:t xml:space="preserve">, </w:t>
            </w:r>
            <w:r w:rsidRPr="0033432A">
              <w:rPr>
                <w:sz w:val="18"/>
                <w:szCs w:val="18"/>
              </w:rPr>
              <w:t>Acciones para poner en marcha la estrategia</w:t>
            </w:r>
            <w:r>
              <w:rPr>
                <w:sz w:val="18"/>
                <w:szCs w:val="18"/>
              </w:rPr>
              <w:t>. Pero no se incluyeron las  métricas para cada una de las acciones y las acciones no se asocian en forma directa con las estrategias.</w:t>
            </w:r>
          </w:p>
        </w:tc>
        <w:tc>
          <w:tcPr>
            <w:tcW w:w="592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531" w:type="pct"/>
            <w:vMerge/>
          </w:tcPr>
          <w:p w:rsidR="00941AEA" w:rsidRPr="00FE7A5A" w:rsidRDefault="00941AEA" w:rsidP="00B0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1AEA" w:rsidRPr="00FE7A5A" w:rsidTr="00B0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 w:val="restart"/>
          </w:tcPr>
          <w:p w:rsidR="00941AEA" w:rsidRPr="00FE7A5A" w:rsidRDefault="00941AEA" w:rsidP="00B06103">
            <w:r>
              <w:t>3</w:t>
            </w:r>
            <w:r w:rsidRPr="00FE7A5A">
              <w:t xml:space="preserve">.  </w:t>
            </w:r>
            <w:r>
              <w:t xml:space="preserve"> Presenta el calendario de actividades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18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16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>Equivalencia</w:t>
            </w:r>
            <w:r>
              <w:rPr>
                <w:b/>
              </w:rPr>
              <w:t>:</w:t>
            </w:r>
            <w:r w:rsidRPr="00FE7A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14 </w:t>
            </w:r>
            <w:r w:rsidRPr="00FE7A5A">
              <w:rPr>
                <w:b/>
              </w:rPr>
              <w:t>puntos</w:t>
            </w:r>
          </w:p>
        </w:tc>
        <w:tc>
          <w:tcPr>
            <w:tcW w:w="671" w:type="pct"/>
          </w:tcPr>
          <w:p w:rsidR="00941AEA" w:rsidRPr="00FE7A5A" w:rsidRDefault="00941AEA" w:rsidP="00941A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12 </w:t>
            </w:r>
            <w:r w:rsidRPr="00FE7A5A">
              <w:rPr>
                <w:b/>
              </w:rPr>
              <w:t>puntos</w:t>
            </w:r>
          </w:p>
        </w:tc>
        <w:tc>
          <w:tcPr>
            <w:tcW w:w="592" w:type="pct"/>
          </w:tcPr>
          <w:p w:rsidR="00941AEA" w:rsidRPr="00FE7A5A" w:rsidRDefault="00941AEA" w:rsidP="00941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br/>
              <w:t xml:space="preserve"> </w:t>
            </w:r>
            <w:r w:rsidRPr="00FE7A5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E7A5A">
              <w:rPr>
                <w:b/>
              </w:rPr>
              <w:t>puntos</w:t>
            </w:r>
          </w:p>
        </w:tc>
        <w:tc>
          <w:tcPr>
            <w:tcW w:w="531" w:type="pct"/>
            <w:vMerge w:val="restart"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41AEA" w:rsidRPr="00FE7A5A" w:rsidTr="00B06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/>
          </w:tcPr>
          <w:p w:rsidR="00941AEA" w:rsidRPr="00FE7A5A" w:rsidRDefault="00941AEA" w:rsidP="00B06103">
            <w:pPr>
              <w:jc w:val="both"/>
            </w:pPr>
          </w:p>
        </w:tc>
        <w:tc>
          <w:tcPr>
            <w:tcW w:w="671" w:type="pct"/>
          </w:tcPr>
          <w:p w:rsidR="00941AEA" w:rsidRPr="00D9440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D461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Presenta el calendario de actividades del plan de acción, se incluye </w:t>
            </w:r>
            <w:r>
              <w:rPr>
                <w:sz w:val="18"/>
                <w:szCs w:val="18"/>
              </w:rPr>
              <w:lastRenderedPageBreak/>
              <w:t>lo siguiente: Acción, tiempo estimado para completarla, recursos necesarios para llevarla a cabo, fecha aproximada de inicio de la actividad.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 Presenta el calendario de actividades del plan de acción, se incluye </w:t>
            </w:r>
            <w:r>
              <w:rPr>
                <w:sz w:val="18"/>
                <w:szCs w:val="18"/>
              </w:rPr>
              <w:lastRenderedPageBreak/>
              <w:t>lo siguiente: Acción, tiempo estimado para completarla, recursos necesarios para llevarla a cabo. Pero no se detallan las fechas de inicio de las actividades.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 Presenta el calendario de actividades del plan de acción, se incluye </w:t>
            </w:r>
            <w:r>
              <w:rPr>
                <w:sz w:val="18"/>
                <w:szCs w:val="18"/>
              </w:rPr>
              <w:lastRenderedPageBreak/>
              <w:t>lo siguiente: Acción, tiempo estimado para completarla, recursos necesarios para llevarla a cabo. Pero no se detallan las fechas de inicio de las actividades.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 Presenta el calendario de actividades del plan de acción, se incluye </w:t>
            </w:r>
            <w:r>
              <w:rPr>
                <w:sz w:val="18"/>
                <w:szCs w:val="18"/>
              </w:rPr>
              <w:lastRenderedPageBreak/>
              <w:t>lo siguiente: Acción, tiempo estimado para completarla,  fecha aproximada de inicio de la actividad. Pero no se detallan los recursos necesarios para cada una de las actividades.</w:t>
            </w: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1. </w:t>
            </w:r>
            <w:r>
              <w:rPr>
                <w:sz w:val="18"/>
                <w:szCs w:val="18"/>
              </w:rPr>
              <w:t xml:space="preserve"> Presenta el calendario de actividades del plan de acción, se incluye </w:t>
            </w:r>
            <w:r>
              <w:rPr>
                <w:sz w:val="18"/>
                <w:szCs w:val="18"/>
              </w:rPr>
              <w:lastRenderedPageBreak/>
              <w:t>lo siguiente: Acción, tiempo estimado para completarla. Pero no se detallan los recursos necesarios para cada una de las actividades, ni las fechas aproximadas de inicio.</w:t>
            </w:r>
          </w:p>
        </w:tc>
        <w:tc>
          <w:tcPr>
            <w:tcW w:w="592" w:type="pct"/>
          </w:tcPr>
          <w:p w:rsidR="00941AEA" w:rsidRPr="00FE7A5A" w:rsidRDefault="00941AEA" w:rsidP="00B06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>No cumple con ninguno de los criterios.</w:t>
            </w:r>
          </w:p>
        </w:tc>
        <w:tc>
          <w:tcPr>
            <w:tcW w:w="531" w:type="pct"/>
            <w:vMerge/>
          </w:tcPr>
          <w:p w:rsidR="00941AEA" w:rsidRPr="00FE7A5A" w:rsidRDefault="00941AEA" w:rsidP="00B0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1AEA" w:rsidRPr="00FE7A5A" w:rsidTr="00B06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pct"/>
            <w:vMerge/>
          </w:tcPr>
          <w:p w:rsidR="00941AEA" w:rsidRPr="00FE7A5A" w:rsidRDefault="00941AEA" w:rsidP="00B06103">
            <w:pPr>
              <w:jc w:val="both"/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71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592" w:type="pct"/>
          </w:tcPr>
          <w:p w:rsidR="00941AEA" w:rsidRPr="00FE7A5A" w:rsidRDefault="00941AEA" w:rsidP="00B06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531" w:type="pct"/>
            <w:vMerge/>
          </w:tcPr>
          <w:p w:rsidR="00941AEA" w:rsidRPr="00FE7A5A" w:rsidRDefault="00941AEA" w:rsidP="00B0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6647D" w:rsidRDefault="0076647D" w:rsidP="0076647D"/>
    <w:p w:rsidR="00E05298" w:rsidRDefault="009D6644"/>
    <w:sectPr w:rsidR="00E0529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44" w:rsidRDefault="009D6644" w:rsidP="0076647D">
      <w:pPr>
        <w:spacing w:after="0" w:line="240" w:lineRule="auto"/>
      </w:pPr>
      <w:r>
        <w:separator/>
      </w:r>
    </w:p>
  </w:endnote>
  <w:endnote w:type="continuationSeparator" w:id="0">
    <w:p w:rsidR="009D6644" w:rsidRDefault="009D6644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2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9D66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44" w:rsidRDefault="009D6644" w:rsidP="0076647D">
      <w:pPr>
        <w:spacing w:after="0" w:line="240" w:lineRule="auto"/>
      </w:pPr>
      <w:r>
        <w:separator/>
      </w:r>
    </w:p>
  </w:footnote>
  <w:footnote w:type="continuationSeparator" w:id="0">
    <w:p w:rsidR="009D6644" w:rsidRDefault="009D6644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04379E2C" wp14:editId="64BBAEC3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A8519B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Start w:id="0" w:name="_GoBack"/>
          <w:bookmarkEnd w:id="0"/>
        </w:p>
      </w:tc>
    </w:tr>
  </w:tbl>
  <w:p w:rsidR="00DC4987" w:rsidRDefault="009D6644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24012B"/>
    <w:rsid w:val="0024470F"/>
    <w:rsid w:val="00377CB1"/>
    <w:rsid w:val="004A3217"/>
    <w:rsid w:val="004C4643"/>
    <w:rsid w:val="00524BF0"/>
    <w:rsid w:val="006003EC"/>
    <w:rsid w:val="006972C3"/>
    <w:rsid w:val="0076647D"/>
    <w:rsid w:val="008D4B2C"/>
    <w:rsid w:val="00941AEA"/>
    <w:rsid w:val="009D6644"/>
    <w:rsid w:val="00A0604F"/>
    <w:rsid w:val="00A8519B"/>
    <w:rsid w:val="00AB2712"/>
    <w:rsid w:val="00B55080"/>
    <w:rsid w:val="00BD0FF3"/>
    <w:rsid w:val="00C03D2D"/>
    <w:rsid w:val="00C642CA"/>
    <w:rsid w:val="00C77EED"/>
    <w:rsid w:val="00D23409"/>
    <w:rsid w:val="00D7381F"/>
    <w:rsid w:val="00D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18</cp:revision>
  <cp:lastPrinted>2014-11-20T18:25:00Z</cp:lastPrinted>
  <dcterms:created xsi:type="dcterms:W3CDTF">2014-08-08T18:59:00Z</dcterms:created>
  <dcterms:modified xsi:type="dcterms:W3CDTF">2014-11-20T18:25:00Z</dcterms:modified>
</cp:coreProperties>
</file>